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6C" w:rsidRDefault="009A556C" w:rsidP="009A556C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SPLİT</w:t>
      </w:r>
      <w:r w:rsidRPr="007B46F0">
        <w:rPr>
          <w:rFonts w:ascii="Times New Roman" w:hAnsi="Times New Roman" w:cs="Times New Roman"/>
          <w:b/>
          <w:sz w:val="24"/>
          <w:szCs w:val="20"/>
        </w:rPr>
        <w:t xml:space="preserve"> KLİMALAR</w:t>
      </w:r>
    </w:p>
    <w:p w:rsidR="009A556C" w:rsidRDefault="009A556C" w:rsidP="009A556C">
      <w:pPr>
        <w:ind w:left="1416" w:firstLine="708"/>
        <w:rPr>
          <w:rFonts w:ascii="Times New Roman" w:hAnsi="Times New Roman" w:cs="Times New Roman"/>
          <w:b/>
          <w:sz w:val="24"/>
          <w:szCs w:val="20"/>
        </w:rPr>
      </w:pPr>
    </w:p>
    <w:p w:rsidR="009A556C" w:rsidRPr="00054FC2" w:rsidRDefault="009A556C" w:rsidP="009A556C">
      <w:pPr>
        <w:ind w:left="1416" w:firstLine="708"/>
        <w:rPr>
          <w:rFonts w:ascii="Times New Roman" w:hAnsi="Times New Roman" w:cs="Times New Roman"/>
          <w:b/>
          <w:sz w:val="24"/>
          <w:szCs w:val="20"/>
        </w:rPr>
      </w:pPr>
      <w:r w:rsidRPr="00054FC2">
        <w:rPr>
          <w:rFonts w:ascii="Times New Roman" w:hAnsi="Times New Roman" w:cs="Times New Roman"/>
          <w:b/>
          <w:sz w:val="24"/>
          <w:szCs w:val="20"/>
        </w:rPr>
        <w:t>DUVAR TİPİ SPLİT KLİMALAR</w:t>
      </w:r>
    </w:p>
    <w:p w:rsidR="009A556C" w:rsidRDefault="009A556C" w:rsidP="009A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95A5C"/>
          <w:w w:val="80"/>
          <w:sz w:val="24"/>
          <w:szCs w:val="24"/>
        </w:rPr>
        <w:t>INFINI</w:t>
      </w:r>
      <w:r>
        <w:rPr>
          <w:rFonts w:ascii="Times New Roman" w:hAnsi="Times New Roman" w:cs="Times New Roman"/>
          <w:b/>
          <w:color w:val="595A5C"/>
          <w:spacing w:val="-77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95A5C"/>
          <w:w w:val="80"/>
          <w:sz w:val="24"/>
          <w:szCs w:val="24"/>
        </w:rPr>
        <w:t>DUVAR</w:t>
      </w:r>
      <w:r>
        <w:rPr>
          <w:rFonts w:ascii="Times New Roman" w:hAnsi="Times New Roman" w:cs="Times New Roman"/>
          <w:b/>
          <w:color w:val="595A5C"/>
          <w:spacing w:val="-77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95A5C"/>
          <w:w w:val="80"/>
          <w:sz w:val="24"/>
          <w:szCs w:val="24"/>
        </w:rPr>
        <w:t>TİPİ</w:t>
      </w:r>
      <w:r>
        <w:rPr>
          <w:rFonts w:ascii="Times New Roman" w:hAnsi="Times New Roman" w:cs="Times New Roman"/>
          <w:b/>
          <w:color w:val="595A5C"/>
          <w:spacing w:val="-77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95A5C"/>
          <w:w w:val="80"/>
          <w:sz w:val="24"/>
          <w:szCs w:val="24"/>
        </w:rPr>
        <w:t>SPLİT</w:t>
      </w:r>
      <w:r>
        <w:rPr>
          <w:rFonts w:ascii="Times New Roman" w:hAnsi="Times New Roman" w:cs="Times New Roman"/>
          <w:b/>
          <w:color w:val="595A5C"/>
          <w:spacing w:val="-76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95A5C"/>
          <w:w w:val="80"/>
          <w:sz w:val="24"/>
          <w:szCs w:val="24"/>
        </w:rPr>
        <w:t>KLİMA</w:t>
      </w:r>
    </w:p>
    <w:p w:rsidR="009A556C" w:rsidRDefault="009A556C" w:rsidP="009A556C">
      <w:r>
        <w:rPr>
          <w:noProof/>
          <w:lang w:eastAsia="tr-TR"/>
        </w:rPr>
        <w:drawing>
          <wp:inline distT="0" distB="0" distL="0" distR="0" wp14:anchorId="26766F37" wp14:editId="2895698C">
            <wp:extent cx="5760720" cy="347535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864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233"/>
        <w:gridCol w:w="2285"/>
        <w:gridCol w:w="1662"/>
      </w:tblGrid>
      <w:tr w:rsidR="009A556C" w:rsidTr="009A556C">
        <w:trPr>
          <w:trHeight w:val="461"/>
        </w:trPr>
        <w:tc>
          <w:tcPr>
            <w:tcW w:w="8646" w:type="dxa"/>
            <w:gridSpan w:val="4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9A556C" w:rsidRDefault="009A556C" w:rsidP="009A1F5D">
            <w:pPr>
              <w:pStyle w:val="TableParagraph"/>
              <w:spacing w:before="29"/>
              <w:ind w:left="105"/>
              <w:rPr>
                <w:rFonts w:ascii="DejaVu Sans" w:hAnsi="DejaVu Sans"/>
                <w:b/>
                <w:sz w:val="21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21"/>
              </w:rPr>
              <w:t>İnﬁni</w:t>
            </w:r>
            <w:proofErr w:type="spellEnd"/>
            <w:r>
              <w:rPr>
                <w:rFonts w:ascii="DejaVu Sans" w:hAnsi="DejaVu Sans"/>
                <w:b/>
                <w:color w:val="231F20"/>
                <w:w w:val="85"/>
                <w:sz w:val="21"/>
              </w:rPr>
              <w:t xml:space="preserve"> R32 - </w:t>
            </w: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21"/>
              </w:rPr>
              <w:t>Duvar</w:t>
            </w:r>
            <w:proofErr w:type="spellEnd"/>
            <w:r>
              <w:rPr>
                <w:rFonts w:ascii="DejaVu Sans" w:hAnsi="DejaVu Sans"/>
                <w:b/>
                <w:color w:val="231F20"/>
                <w:w w:val="85"/>
                <w:sz w:val="21"/>
              </w:rPr>
              <w:t xml:space="preserve"> Tipi </w:t>
            </w: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21"/>
              </w:rPr>
              <w:t>Klima</w:t>
            </w:r>
            <w:proofErr w:type="spellEnd"/>
          </w:p>
        </w:tc>
      </w:tr>
      <w:tr w:rsidR="009A556C" w:rsidTr="009A556C">
        <w:trPr>
          <w:trHeight w:val="578"/>
        </w:trPr>
        <w:tc>
          <w:tcPr>
            <w:tcW w:w="246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9A556C" w:rsidRDefault="009A556C" w:rsidP="009A1F5D">
            <w:pPr>
              <w:pStyle w:val="TableParagraph"/>
              <w:spacing w:before="81"/>
              <w:ind w:left="365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Ürün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9A556C" w:rsidRDefault="009A556C" w:rsidP="009A1F5D">
            <w:pPr>
              <w:pStyle w:val="TableParagraph"/>
              <w:spacing w:before="82"/>
              <w:ind w:left="1035"/>
              <w:rPr>
                <w:rFonts w:ascii="DejaVu Sans"/>
                <w:b/>
                <w:sz w:val="18"/>
              </w:rPr>
            </w:pPr>
            <w:proofErr w:type="spellStart"/>
            <w:r>
              <w:rPr>
                <w:rFonts w:ascii="DejaVu Sans"/>
                <w:b/>
                <w:color w:val="231F20"/>
                <w:w w:val="85"/>
                <w:sz w:val="18"/>
              </w:rPr>
              <w:t>Kapasite</w:t>
            </w:r>
            <w:proofErr w:type="spellEnd"/>
            <w:r>
              <w:rPr>
                <w:rFonts w:ascii="DejaVu Sans"/>
                <w:b/>
                <w:color w:val="231F20"/>
                <w:w w:val="85"/>
                <w:sz w:val="18"/>
              </w:rPr>
              <w:t xml:space="preserve"> (BTU/h)</w:t>
            </w:r>
          </w:p>
        </w:tc>
        <w:tc>
          <w:tcPr>
            <w:tcW w:w="1661" w:type="dxa"/>
            <w:vMerge w:val="restart"/>
            <w:tcBorders>
              <w:top w:val="single" w:sz="2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9A556C" w:rsidRDefault="009A556C" w:rsidP="009A1F5D">
            <w:pPr>
              <w:pStyle w:val="TableParagraph"/>
              <w:spacing w:before="8"/>
              <w:rPr>
                <w:rFonts w:ascii="Noto Sans Display"/>
                <w:sz w:val="17"/>
              </w:rPr>
            </w:pPr>
          </w:p>
          <w:p w:rsidR="009A556C" w:rsidRDefault="009A556C" w:rsidP="009A1F5D">
            <w:pPr>
              <w:pStyle w:val="TableParagraph"/>
              <w:ind w:left="77"/>
              <w:rPr>
                <w:rFonts w:ascii="DejaVu Sans" w:eastAsia="DejaVu Sans" w:hAnsi="DejaVu Sans" w:cs="DejaVu San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75"/>
                <w:sz w:val="18"/>
                <w:szCs w:val="18"/>
              </w:rPr>
              <w:t>Üre</w:t>
            </w:r>
            <w:r>
              <w:rPr>
                <w:rFonts w:ascii="Tahoma" w:eastAsia="DejaVu Sans" w:hAnsi="Tahoma" w:cs="Tahoma"/>
                <w:b/>
                <w:bCs/>
                <w:color w:val="231F20"/>
                <w:w w:val="75"/>
                <w:sz w:val="18"/>
                <w:szCs w:val="18"/>
              </w:rPr>
              <w:t>ti</w:t>
            </w:r>
            <w:r>
              <w:rPr>
                <w:rFonts w:ascii="DejaVu Sans" w:eastAsia="DejaVu Sans" w:hAnsi="DejaVu Sans" w:cs="DejaVu Sans"/>
                <w:b/>
                <w:bCs/>
                <w:color w:val="231F20"/>
                <w:w w:val="75"/>
                <w:sz w:val="18"/>
                <w:szCs w:val="18"/>
              </w:rPr>
              <w:t>m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231F20"/>
                <w:spacing w:val="-32"/>
                <w:w w:val="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75"/>
                <w:sz w:val="18"/>
                <w:szCs w:val="18"/>
              </w:rPr>
              <w:t>Yeri</w:t>
            </w:r>
            <w:proofErr w:type="spellEnd"/>
          </w:p>
        </w:tc>
      </w:tr>
      <w:tr w:rsidR="009A556C" w:rsidTr="009A556C">
        <w:trPr>
          <w:trHeight w:val="474"/>
        </w:trPr>
        <w:tc>
          <w:tcPr>
            <w:tcW w:w="2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9A556C" w:rsidRDefault="009A556C" w:rsidP="009A1F5D">
            <w:pPr>
              <w:pStyle w:val="TableParagraph"/>
              <w:spacing w:before="41"/>
              <w:ind w:left="160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Ürün</w:t>
            </w:r>
            <w:proofErr w:type="spellEnd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 xml:space="preserve"> Kodu</w:t>
            </w:r>
          </w:p>
        </w:tc>
        <w:tc>
          <w:tcPr>
            <w:tcW w:w="2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9A556C" w:rsidRDefault="009A556C" w:rsidP="009A1F5D">
            <w:pPr>
              <w:pStyle w:val="TableParagraph"/>
              <w:spacing w:before="41"/>
              <w:ind w:left="515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Soğutma</w:t>
            </w:r>
            <w:proofErr w:type="spellEnd"/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9A556C" w:rsidRDefault="009A556C" w:rsidP="009A1F5D">
            <w:pPr>
              <w:pStyle w:val="TableParagraph"/>
              <w:spacing w:before="41"/>
              <w:ind w:left="196" w:right="310"/>
              <w:jc w:val="center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0"/>
                <w:sz w:val="18"/>
              </w:rPr>
              <w:t>Isıtma</w:t>
            </w:r>
            <w:proofErr w:type="spellEnd"/>
          </w:p>
        </w:tc>
        <w:tc>
          <w:tcPr>
            <w:tcW w:w="1661" w:type="dxa"/>
            <w:vMerge/>
            <w:tcBorders>
              <w:top w:val="single" w:sz="2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DejaVu Sans" w:eastAsia="DejaVu Sans" w:hAnsi="DejaVu Sans" w:cs="DejaVu Sans"/>
                <w:b/>
                <w:bCs/>
                <w:sz w:val="18"/>
                <w:szCs w:val="18"/>
              </w:rPr>
            </w:pPr>
          </w:p>
        </w:tc>
      </w:tr>
      <w:tr w:rsidR="009A556C" w:rsidTr="009A556C">
        <w:trPr>
          <w:trHeight w:val="435"/>
        </w:trPr>
        <w:tc>
          <w:tcPr>
            <w:tcW w:w="2466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62"/>
              <w:ind w:left="55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XTXM25R</w:t>
            </w:r>
          </w:p>
        </w:tc>
        <w:tc>
          <w:tcPr>
            <w:tcW w:w="22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135" w:line="202" w:lineRule="exact"/>
              <w:ind w:left="282" w:right="2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9.000</w:t>
            </w:r>
          </w:p>
          <w:p w:rsidR="009A556C" w:rsidRDefault="009A556C" w:rsidP="009A1F5D">
            <w:pPr>
              <w:pStyle w:val="TableParagraph"/>
              <w:spacing w:line="156" w:lineRule="exact"/>
              <w:ind w:left="282" w:right="2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(3.100~11.600)</w:t>
            </w:r>
          </w:p>
        </w:tc>
        <w:tc>
          <w:tcPr>
            <w:tcW w:w="228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134" w:line="202" w:lineRule="exact"/>
              <w:ind w:left="291" w:right="3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10.000</w:t>
            </w:r>
          </w:p>
          <w:p w:rsidR="009A556C" w:rsidRDefault="009A556C" w:rsidP="009A1F5D">
            <w:pPr>
              <w:pStyle w:val="TableParagraph"/>
              <w:spacing w:line="156" w:lineRule="exact"/>
              <w:ind w:left="291" w:right="30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(2.800~11.500)</w:t>
            </w:r>
          </w:p>
        </w:tc>
        <w:tc>
          <w:tcPr>
            <w:tcW w:w="1661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A556C" w:rsidRDefault="009A556C" w:rsidP="009A1F5D">
            <w:pPr>
              <w:pStyle w:val="TableParagraph"/>
              <w:rPr>
                <w:rFonts w:ascii="Noto Sans Display"/>
                <w:sz w:val="18"/>
              </w:rPr>
            </w:pPr>
          </w:p>
          <w:p w:rsidR="009A556C" w:rsidRDefault="009A556C" w:rsidP="009A1F5D">
            <w:pPr>
              <w:pStyle w:val="TableParagraph"/>
              <w:rPr>
                <w:rFonts w:ascii="Noto Sans Display"/>
                <w:sz w:val="18"/>
              </w:rPr>
            </w:pPr>
          </w:p>
          <w:p w:rsidR="009A556C" w:rsidRDefault="009A556C" w:rsidP="009A1F5D">
            <w:pPr>
              <w:pStyle w:val="TableParagraph"/>
              <w:rPr>
                <w:rFonts w:ascii="Noto Sans Display"/>
                <w:sz w:val="18"/>
              </w:rPr>
            </w:pPr>
          </w:p>
          <w:p w:rsidR="009A556C" w:rsidRDefault="009A556C" w:rsidP="009A1F5D">
            <w:pPr>
              <w:pStyle w:val="TableParagraph"/>
              <w:rPr>
                <w:rFonts w:ascii="Noto Sans Display"/>
                <w:sz w:val="18"/>
              </w:rPr>
            </w:pPr>
          </w:p>
          <w:p w:rsidR="009A556C" w:rsidRDefault="009A556C" w:rsidP="009A1F5D">
            <w:pPr>
              <w:pStyle w:val="TableParagraph"/>
              <w:spacing w:before="1"/>
              <w:rPr>
                <w:rFonts w:ascii="Noto Sans Display"/>
                <w:sz w:val="14"/>
              </w:rPr>
            </w:pPr>
          </w:p>
          <w:p w:rsidR="009A556C" w:rsidRDefault="009A556C" w:rsidP="009A1F5D">
            <w:pPr>
              <w:pStyle w:val="TableParagraph"/>
              <w:ind w:left="336" w:right="34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Çin</w:t>
            </w:r>
            <w:proofErr w:type="spellEnd"/>
          </w:p>
        </w:tc>
      </w:tr>
      <w:tr w:rsidR="009A556C" w:rsidTr="009A556C">
        <w:trPr>
          <w:trHeight w:val="488"/>
        </w:trPr>
        <w:tc>
          <w:tcPr>
            <w:tcW w:w="246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34"/>
              <w:ind w:left="1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(XRXM25R-XTXM25R)</w:t>
            </w:r>
          </w:p>
        </w:tc>
        <w:tc>
          <w:tcPr>
            <w:tcW w:w="223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4"/>
              </w:rPr>
            </w:pPr>
          </w:p>
        </w:tc>
        <w:tc>
          <w:tcPr>
            <w:tcW w:w="228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4"/>
              </w:rPr>
            </w:pPr>
          </w:p>
        </w:tc>
        <w:tc>
          <w:tcPr>
            <w:tcW w:w="1661" w:type="dxa"/>
            <w:vMerge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9A556C" w:rsidTr="009A556C">
        <w:trPr>
          <w:trHeight w:val="436"/>
        </w:trPr>
        <w:tc>
          <w:tcPr>
            <w:tcW w:w="2466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64"/>
              <w:ind w:left="55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XTXM35R</w:t>
            </w:r>
          </w:p>
        </w:tc>
        <w:tc>
          <w:tcPr>
            <w:tcW w:w="22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136" w:line="202" w:lineRule="exact"/>
              <w:ind w:left="282" w:right="2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12.000</w:t>
            </w:r>
          </w:p>
          <w:p w:rsidR="009A556C" w:rsidRDefault="009A556C" w:rsidP="009A1F5D">
            <w:pPr>
              <w:pStyle w:val="TableParagraph"/>
              <w:spacing w:line="156" w:lineRule="exact"/>
              <w:ind w:left="282" w:right="2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(3.800~14.200)</w:t>
            </w:r>
          </w:p>
        </w:tc>
        <w:tc>
          <w:tcPr>
            <w:tcW w:w="228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136" w:line="202" w:lineRule="exact"/>
              <w:ind w:left="291" w:right="3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13.000</w:t>
            </w:r>
          </w:p>
          <w:p w:rsidR="009A556C" w:rsidRDefault="009A556C" w:rsidP="009A1F5D">
            <w:pPr>
              <w:pStyle w:val="TableParagraph"/>
              <w:spacing w:line="156" w:lineRule="exact"/>
              <w:ind w:left="291" w:right="3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(3.700~14.400)</w:t>
            </w:r>
          </w:p>
        </w:tc>
        <w:tc>
          <w:tcPr>
            <w:tcW w:w="1661" w:type="dxa"/>
            <w:vMerge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9A556C" w:rsidTr="009A556C">
        <w:trPr>
          <w:trHeight w:val="485"/>
        </w:trPr>
        <w:tc>
          <w:tcPr>
            <w:tcW w:w="246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34"/>
              <w:ind w:lef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(XRXM35R-XTXM35R)</w:t>
            </w:r>
          </w:p>
        </w:tc>
        <w:tc>
          <w:tcPr>
            <w:tcW w:w="223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4"/>
              </w:rPr>
            </w:pPr>
          </w:p>
        </w:tc>
        <w:tc>
          <w:tcPr>
            <w:tcW w:w="228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4"/>
              </w:rPr>
            </w:pPr>
          </w:p>
        </w:tc>
        <w:tc>
          <w:tcPr>
            <w:tcW w:w="1661" w:type="dxa"/>
            <w:vMerge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9A556C" w:rsidTr="009A556C">
        <w:trPr>
          <w:trHeight w:val="439"/>
        </w:trPr>
        <w:tc>
          <w:tcPr>
            <w:tcW w:w="2466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66"/>
              <w:ind w:left="55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XTXM50R</w:t>
            </w:r>
          </w:p>
        </w:tc>
        <w:tc>
          <w:tcPr>
            <w:tcW w:w="22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137" w:line="202" w:lineRule="exact"/>
              <w:ind w:left="282" w:right="2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18.000</w:t>
            </w:r>
          </w:p>
          <w:p w:rsidR="009A556C" w:rsidRDefault="009A556C" w:rsidP="009A1F5D">
            <w:pPr>
              <w:pStyle w:val="TableParagraph"/>
              <w:spacing w:line="156" w:lineRule="exact"/>
              <w:ind w:left="282" w:right="2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(11.570~20.130)</w:t>
            </w:r>
          </w:p>
        </w:tc>
        <w:tc>
          <w:tcPr>
            <w:tcW w:w="228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137" w:line="202" w:lineRule="exact"/>
              <w:ind w:left="291" w:right="3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19.000</w:t>
            </w:r>
          </w:p>
          <w:p w:rsidR="009A556C" w:rsidRDefault="009A556C" w:rsidP="009A1F5D">
            <w:pPr>
              <w:pStyle w:val="TableParagraph"/>
              <w:spacing w:line="156" w:lineRule="exact"/>
              <w:ind w:left="291" w:right="3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(10.580~19.960)</w:t>
            </w:r>
          </w:p>
        </w:tc>
        <w:tc>
          <w:tcPr>
            <w:tcW w:w="1661" w:type="dxa"/>
            <w:vMerge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9A556C" w:rsidTr="009A556C">
        <w:trPr>
          <w:trHeight w:val="482"/>
        </w:trPr>
        <w:tc>
          <w:tcPr>
            <w:tcW w:w="246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34"/>
              <w:ind w:lef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(XRXM50R-XTXM50R)</w:t>
            </w:r>
          </w:p>
        </w:tc>
        <w:tc>
          <w:tcPr>
            <w:tcW w:w="223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4"/>
              </w:rPr>
            </w:pPr>
          </w:p>
        </w:tc>
        <w:tc>
          <w:tcPr>
            <w:tcW w:w="228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4"/>
              </w:rPr>
            </w:pPr>
          </w:p>
        </w:tc>
        <w:tc>
          <w:tcPr>
            <w:tcW w:w="1661" w:type="dxa"/>
            <w:vMerge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9A556C" w:rsidTr="009A556C">
        <w:trPr>
          <w:trHeight w:val="442"/>
        </w:trPr>
        <w:tc>
          <w:tcPr>
            <w:tcW w:w="2466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68"/>
              <w:ind w:left="55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XTXM71R</w:t>
            </w:r>
          </w:p>
        </w:tc>
        <w:tc>
          <w:tcPr>
            <w:tcW w:w="22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139" w:line="202" w:lineRule="exact"/>
              <w:ind w:left="282" w:right="2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24.000</w:t>
            </w:r>
          </w:p>
          <w:p w:rsidR="009A556C" w:rsidRDefault="009A556C" w:rsidP="009A1F5D">
            <w:pPr>
              <w:pStyle w:val="TableParagraph"/>
              <w:spacing w:line="156" w:lineRule="exact"/>
              <w:ind w:left="282" w:right="2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(7.200-28.000)</w:t>
            </w:r>
          </w:p>
        </w:tc>
        <w:tc>
          <w:tcPr>
            <w:tcW w:w="228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139" w:line="202" w:lineRule="exact"/>
              <w:ind w:left="291" w:right="3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25.000</w:t>
            </w:r>
          </w:p>
          <w:p w:rsidR="009A556C" w:rsidRDefault="009A556C" w:rsidP="009A1F5D">
            <w:pPr>
              <w:pStyle w:val="TableParagraph"/>
              <w:spacing w:line="156" w:lineRule="exact"/>
              <w:ind w:left="261" w:right="3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(5.300-28.000)</w:t>
            </w:r>
          </w:p>
        </w:tc>
        <w:tc>
          <w:tcPr>
            <w:tcW w:w="1661" w:type="dxa"/>
            <w:vMerge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9A556C" w:rsidTr="009A556C">
        <w:trPr>
          <w:trHeight w:val="480"/>
        </w:trPr>
        <w:tc>
          <w:tcPr>
            <w:tcW w:w="246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A556C" w:rsidRDefault="009A556C" w:rsidP="009A1F5D">
            <w:pPr>
              <w:pStyle w:val="TableParagraph"/>
              <w:spacing w:before="35"/>
              <w:ind w:left="12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(XRXM71R-XTXM71R)</w:t>
            </w:r>
          </w:p>
        </w:tc>
        <w:tc>
          <w:tcPr>
            <w:tcW w:w="223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4"/>
              </w:rPr>
            </w:pPr>
          </w:p>
        </w:tc>
        <w:tc>
          <w:tcPr>
            <w:tcW w:w="228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4"/>
              </w:rPr>
            </w:pPr>
          </w:p>
        </w:tc>
        <w:tc>
          <w:tcPr>
            <w:tcW w:w="1661" w:type="dxa"/>
            <w:vMerge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A556C" w:rsidRDefault="009A556C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</w:tbl>
    <w:p w:rsidR="009A556C" w:rsidRDefault="009A556C" w:rsidP="009A556C">
      <w:pPr>
        <w:rPr>
          <w:rFonts w:ascii="Noto Sans Display" w:eastAsia="Noto Sans Display" w:hAnsi="Noto Sans Display" w:cs="Noto Sans Display"/>
        </w:rPr>
      </w:pPr>
    </w:p>
    <w:p w:rsidR="009A556C" w:rsidRDefault="009A556C" w:rsidP="009A55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192730"/>
          <w:sz w:val="24"/>
          <w:szCs w:val="23"/>
          <w:bdr w:val="none" w:sz="0" w:space="0" w:color="auto" w:frame="1"/>
          <w:lang w:eastAsia="tr-TR"/>
        </w:rPr>
      </w:pPr>
    </w:p>
    <w:p w:rsidR="009A556C" w:rsidRDefault="009A556C" w:rsidP="009A55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192730"/>
          <w:sz w:val="24"/>
          <w:szCs w:val="23"/>
          <w:bdr w:val="none" w:sz="0" w:space="0" w:color="auto" w:frame="1"/>
          <w:lang w:eastAsia="tr-TR"/>
        </w:rPr>
      </w:pPr>
      <w:bookmarkStart w:id="0" w:name="_GoBack"/>
      <w:bookmarkEnd w:id="0"/>
    </w:p>
    <w:p w:rsidR="009A556C" w:rsidRDefault="009A556C" w:rsidP="009A55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192730"/>
          <w:sz w:val="24"/>
          <w:szCs w:val="23"/>
          <w:bdr w:val="none" w:sz="0" w:space="0" w:color="auto" w:frame="1"/>
          <w:lang w:eastAsia="tr-TR"/>
        </w:rPr>
      </w:pPr>
    </w:p>
    <w:p w:rsidR="009A556C" w:rsidRDefault="009A556C" w:rsidP="009A55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192730"/>
          <w:sz w:val="24"/>
          <w:szCs w:val="23"/>
          <w:bdr w:val="none" w:sz="0" w:space="0" w:color="auto" w:frame="1"/>
          <w:lang w:eastAsia="tr-TR"/>
        </w:rPr>
      </w:pPr>
    </w:p>
    <w:p w:rsidR="009A556C" w:rsidRDefault="009A556C" w:rsidP="009A55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192730"/>
          <w:sz w:val="24"/>
          <w:szCs w:val="23"/>
          <w:bdr w:val="none" w:sz="0" w:space="0" w:color="auto" w:frame="1"/>
          <w:lang w:eastAsia="tr-TR"/>
        </w:rPr>
      </w:pPr>
    </w:p>
    <w:p w:rsidR="009A556C" w:rsidRDefault="009A556C" w:rsidP="009A55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2730"/>
          <w:sz w:val="24"/>
          <w:szCs w:val="23"/>
          <w:bdr w:val="none" w:sz="0" w:space="0" w:color="auto" w:frame="1"/>
          <w:lang w:eastAsia="tr-TR"/>
        </w:rPr>
        <w:t>Öne Çıkan Özellikleri:</w:t>
      </w:r>
    </w:p>
    <w:p w:rsidR="009A556C" w:rsidRDefault="009A556C" w:rsidP="009A556C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3 Boyutlu hava üfleme teknolojisi</w:t>
      </w:r>
    </w:p>
    <w:p w:rsidR="009A556C" w:rsidRDefault="009A556C" w:rsidP="009A556C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Wifi</w:t>
      </w:r>
      <w:proofErr w:type="spellEnd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 seçeneği ile her yerden uzaktan kontrol</w:t>
      </w:r>
    </w:p>
    <w:p w:rsidR="009A556C" w:rsidRDefault="009A556C" w:rsidP="009A556C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%99.9 bakteri önleyici </w:t>
      </w:r>
      <w:proofErr w:type="spellStart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mod</w:t>
      </w:r>
      <w:proofErr w:type="spellEnd"/>
    </w:p>
    <w:p w:rsidR="009A556C" w:rsidRDefault="009A556C" w:rsidP="009A556C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I-</w:t>
      </w:r>
      <w:proofErr w:type="spellStart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Clean</w:t>
      </w:r>
      <w:proofErr w:type="spellEnd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 özelliği ile daima temiz hava</w:t>
      </w:r>
    </w:p>
    <w:p w:rsidR="009A556C" w:rsidRDefault="009A556C" w:rsidP="009A55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192730"/>
          <w:sz w:val="24"/>
          <w:szCs w:val="23"/>
          <w:bdr w:val="none" w:sz="0" w:space="0" w:color="auto" w:frame="1"/>
          <w:lang w:eastAsia="tr-TR"/>
        </w:rPr>
      </w:pPr>
      <w:r w:rsidRPr="0097288D"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Minimum enerji tüketimiyle dikkat çeken </w:t>
      </w:r>
      <w:proofErr w:type="spellStart"/>
      <w:r w:rsidRPr="0097288D">
        <w:rPr>
          <w:rFonts w:ascii="Times New Roman" w:eastAsia="Times New Roman" w:hAnsi="Times New Roman" w:cs="Times New Roman"/>
          <w:bCs/>
          <w:color w:val="192730"/>
          <w:sz w:val="24"/>
          <w:szCs w:val="23"/>
          <w:bdr w:val="none" w:sz="0" w:space="0" w:color="auto" w:frame="1"/>
          <w:lang w:eastAsia="tr-TR"/>
        </w:rPr>
        <w:t>DayRelax</w:t>
      </w:r>
      <w:proofErr w:type="spellEnd"/>
      <w:r w:rsidRPr="0097288D">
        <w:rPr>
          <w:rFonts w:ascii="Times New Roman" w:eastAsia="Times New Roman" w:hAnsi="Times New Roman" w:cs="Times New Roman"/>
          <w:bCs/>
          <w:color w:val="192730"/>
          <w:sz w:val="24"/>
          <w:szCs w:val="23"/>
          <w:bdr w:val="none" w:sz="0" w:space="0" w:color="auto" w:frame="1"/>
          <w:lang w:eastAsia="tr-TR"/>
        </w:rPr>
        <w:t xml:space="preserve"> </w:t>
      </w:r>
      <w:proofErr w:type="spellStart"/>
      <w:r w:rsidRPr="0097288D">
        <w:rPr>
          <w:rFonts w:ascii="Times New Roman" w:eastAsia="Times New Roman" w:hAnsi="Times New Roman" w:cs="Times New Roman"/>
          <w:bCs/>
          <w:color w:val="192730"/>
          <w:sz w:val="24"/>
          <w:szCs w:val="23"/>
          <w:bdr w:val="none" w:sz="0" w:space="0" w:color="auto" w:frame="1"/>
          <w:lang w:eastAsia="tr-TR"/>
        </w:rPr>
        <w:t>İnfini</w:t>
      </w:r>
      <w:proofErr w:type="spellEnd"/>
      <w:r w:rsidRPr="0097288D">
        <w:rPr>
          <w:rFonts w:ascii="Times New Roman" w:eastAsia="Times New Roman" w:hAnsi="Times New Roman" w:cs="Times New Roman"/>
          <w:bCs/>
          <w:color w:val="192730"/>
          <w:sz w:val="24"/>
          <w:szCs w:val="23"/>
          <w:bdr w:val="none" w:sz="0" w:space="0" w:color="auto" w:frame="1"/>
          <w:lang w:eastAsia="tr-TR"/>
        </w:rPr>
        <w:t xml:space="preserve"> Duvar Tipi </w:t>
      </w:r>
      <w:proofErr w:type="spellStart"/>
      <w:r w:rsidRPr="0097288D">
        <w:rPr>
          <w:rFonts w:ascii="Times New Roman" w:eastAsia="Times New Roman" w:hAnsi="Times New Roman" w:cs="Times New Roman"/>
          <w:bCs/>
          <w:color w:val="192730"/>
          <w:sz w:val="24"/>
          <w:szCs w:val="23"/>
          <w:bdr w:val="none" w:sz="0" w:space="0" w:color="auto" w:frame="1"/>
          <w:lang w:eastAsia="tr-TR"/>
        </w:rPr>
        <w:t>İnverter</w:t>
      </w:r>
      <w:proofErr w:type="spellEnd"/>
      <w:r w:rsidRPr="0097288D">
        <w:rPr>
          <w:rFonts w:ascii="Times New Roman" w:eastAsia="Times New Roman" w:hAnsi="Times New Roman" w:cs="Times New Roman"/>
          <w:bCs/>
          <w:color w:val="192730"/>
          <w:sz w:val="24"/>
          <w:szCs w:val="23"/>
          <w:bdr w:val="none" w:sz="0" w:space="0" w:color="auto" w:frame="1"/>
          <w:lang w:eastAsia="tr-TR"/>
        </w:rPr>
        <w:t xml:space="preserve"> Klima</w:t>
      </w:r>
      <w:r w:rsidRPr="0097288D"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, filtreleme özelliği sayesinde muhteşem bir hava </w:t>
      </w:r>
      <w:proofErr w:type="gramStart"/>
      <w:r w:rsidRPr="0097288D"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sirkülasyonu</w:t>
      </w:r>
      <w:proofErr w:type="gramEnd"/>
      <w:r w:rsidRPr="0097288D"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 ile ortama temiz havanın</w:t>
      </w:r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 yayılmasını sağlıyor. Kullanıldığı mekânın nem dengesiyle birlikte ısı seviyesini de koruyan </w:t>
      </w:r>
      <w:proofErr w:type="spellStart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DayRelax</w:t>
      </w:r>
      <w:proofErr w:type="spellEnd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İnfini</w:t>
      </w:r>
      <w:proofErr w:type="spellEnd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İnverter</w:t>
      </w:r>
      <w:proofErr w:type="spellEnd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 Klima, özellikle çok soğuk ya da çok sıcak havalarda kullanıcılar için oldukça konforlu bir ürüne dönüşüyor.</w:t>
      </w:r>
      <w:r w:rsidRPr="00054FC2">
        <w:rPr>
          <w:rFonts w:ascii="Times New Roman" w:eastAsia="Times New Roman" w:hAnsi="Times New Roman" w:cs="Times New Roman"/>
          <w:b/>
          <w:bCs/>
          <w:color w:val="192730"/>
          <w:sz w:val="24"/>
          <w:szCs w:val="23"/>
          <w:bdr w:val="none" w:sz="0" w:space="0" w:color="auto" w:frame="1"/>
          <w:lang w:eastAsia="tr-TR"/>
        </w:rPr>
        <w:t xml:space="preserve"> </w:t>
      </w:r>
    </w:p>
    <w:p w:rsidR="009A556C" w:rsidRDefault="009A556C" w:rsidP="009A55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2730"/>
          <w:sz w:val="24"/>
          <w:szCs w:val="23"/>
          <w:bdr w:val="none" w:sz="0" w:space="0" w:color="auto" w:frame="1"/>
          <w:lang w:eastAsia="tr-TR"/>
        </w:rPr>
        <w:t>Gelişmiş Fonksiyonlar ile Konforu Hissetmeniz İçin Tasarlanan Klima </w:t>
      </w:r>
    </w:p>
    <w:p w:rsidR="009A556C" w:rsidRDefault="009A556C" w:rsidP="009A55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– Isıtma ve soğutma kapasiteleri ile iç mekânlarda ortam ısısının dengede kalmasını sağlayan </w:t>
      </w:r>
      <w:proofErr w:type="spellStart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DayRelax</w:t>
      </w:r>
      <w:proofErr w:type="spellEnd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 klima modeli, düşük enerji tüketimiyle kullanıcılarının enerjiden tasarruf etmesini daha kolay bir hale getiriyor.</w:t>
      </w:r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br/>
        <w:t>– Yüksek verimlilik ve üstün performans özelliklerini yeni nesil teknolojiler ile bir araya getirmeyi başaran ürün, ortamın her yerinde ısı seviyesinin eşit kalmasını sağlıyor.</w:t>
      </w:r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br/>
        <w:t>– Performans özelliklerinde sergilediği başarıyı tasarımı konusunda da yansıtan </w:t>
      </w:r>
      <w:proofErr w:type="spellStart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DayRelax</w:t>
      </w:r>
      <w:proofErr w:type="spellEnd"/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 xml:space="preserve"> klimalar, şık ve ergonomik tasarımları ile birlikte sahip oldukları renklerle de kuruldukları alanlarla uyumlu bir şekilde çalışıyor.</w:t>
      </w:r>
    </w:p>
    <w:p w:rsidR="009A556C" w:rsidRDefault="009A556C" w:rsidP="009A556C">
      <w:pPr>
        <w:shd w:val="clear" w:color="auto" w:fill="FFFFFF"/>
        <w:spacing w:after="384"/>
        <w:textAlignment w:val="baseline"/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  <w:t>– Çeşitli fan seçenekleri ile farklı ayarlarda kullanılabilen ürün, bu özelliği sayesinde kullanıcılarına konforlu bir kullanımın kapılarını aralamayı başarıyor.</w:t>
      </w:r>
    </w:p>
    <w:p w:rsidR="001811BF" w:rsidRDefault="001811BF"/>
    <w:sectPr w:rsidR="0018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mo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Noto Sans Display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5D60"/>
    <w:multiLevelType w:val="multilevel"/>
    <w:tmpl w:val="0EC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8"/>
    <w:rsid w:val="000C6D38"/>
    <w:rsid w:val="001811BF"/>
    <w:rsid w:val="009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210E"/>
  <w15:chartTrackingRefBased/>
  <w15:docId w15:val="{0B79654E-46F2-4D51-A92C-AC207B1A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556C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table" w:customStyle="1" w:styleId="TableNormal">
    <w:name w:val="Table Normal"/>
    <w:uiPriority w:val="2"/>
    <w:semiHidden/>
    <w:qFormat/>
    <w:rsid w:val="009A55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2023-07-05T06:32:00Z</dcterms:created>
  <dcterms:modified xsi:type="dcterms:W3CDTF">2023-07-05T06:34:00Z</dcterms:modified>
</cp:coreProperties>
</file>